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333-232234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333-237220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333-254454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333-263194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333-270662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333-277531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333-285416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333-232234</w:t>
      </w:r>
    </w:p>
    <w:p>
      <w:pPr>
        <w:spacing w:after="0" w:line="3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333-237220</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333-254454</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333-263194</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333-270662</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333-277531</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333-285416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AKERO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81-5266573</w:t>
            </w:r>
          </w:p>
        </w:tc>
      </w:tr>
      <w:tr>
        <w:trPr>
          <w:trHeight w:val="238"/>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40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tc>
      </w:tr>
      <w:tr>
        <w:trPr>
          <w:trHeight w:val="410"/>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601 Gateway Boulevard, Suite 350</w:t>
            </w:r>
          </w:p>
        </w:tc>
        <w:tc>
          <w:tcPr>
            <w:tcW w:w="4060" w:type="dxa"/>
            <w:vAlign w:val="bottom"/>
          </w:tcPr>
          <w:p>
            <w:pPr>
              <w:spacing w:after="0"/>
              <w:rPr>
                <w:sz w:val="24"/>
                <w:szCs w:val="24"/>
                <w:color w:val="auto"/>
              </w:rPr>
            </w:pPr>
          </w:p>
        </w:tc>
      </w:tr>
      <w:tr>
        <w:trPr>
          <w:trHeight w:val="216"/>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40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8"/>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2018 Stock Option and Grant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2019 Stock Option and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2019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Young, J.D.,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Assistant Treasurer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601 Gateway Boulevard, Suite 350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487-6488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Christopher Comeau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Emily Oldshue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Prudential Tower, 800 Boylston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S-8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Akero Therapeutics, Inc. (“</w:t>
      </w:r>
      <w:r>
        <w:rPr>
          <w:rFonts w:ascii="Times New Roman" w:cs="Times New Roman" w:eastAsia="Times New Roman" w:hAnsi="Times New Roman"/>
          <w:sz w:val="18"/>
          <w:szCs w:val="18"/>
          <w:u w:val="single" w:color="auto"/>
          <w:color w:val="auto"/>
        </w:rPr>
        <w:t>Akero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333-232234, filed with the SEC on June 20, 2019, relating to the registration of (i) 2,303,982 shares of the Company’s common stock, $0.0001 par value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under the Akero Therapeutics, Inc. 2018 Stock Option and Grant Plan, (ii) 2,455,931 Shares under the Akero Therapeutics, Inc. 2019 Stock Option and Incentive Plan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 (iii) options to purchase 116,526 Shares granted under the 2019 Plan, and (iv) 273,869 Shares reserved for future issuance under the Akero Therapeutics, Inc. 2019 Employee Stock Purchase Plan (the “</w:t>
      </w:r>
      <w:r>
        <w:rPr>
          <w:rFonts w:ascii="Times New Roman" w:cs="Times New Roman" w:eastAsia="Times New Roman" w:hAnsi="Times New Roman"/>
          <w:sz w:val="18"/>
          <w:szCs w:val="18"/>
          <w:u w:val="single" w:color="auto"/>
          <w:color w:val="auto"/>
        </w:rPr>
        <w:t>2019 ESPP</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333-237220, filed with the SEC on March 16, 2020, relating to the registration of (i) 1,142,713 Shares under the 2019 Plan and (ii) 285,678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333-254454, filed with the SEC on March 18, 2021, relating to the registration of (i) 1,389,665 Shares under the 2019 Plan and (ii) 347,416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333-263194, filed with the SEC on March 2, 2022, relating to the registration of (i) 1,396,029 Shares under the 2019 Plan and (ii) 349,007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333-270662, filed with the SEC on March 17, 2023, relating to the registration of (i) 1,874,608 Shares under the 2019 Plan and (ii) 410,803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333-277531, filed with the SEC on February 29, 2024, relating to the registration of (i) 2,230,177 Shares under the 2019 Plan and (ii) 410,803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333-285416, filed with the SEC on February 28, 2025, relating to the registration of (i) 2,895,320 Shares under the 2019 Plan and (ii) 410,803 Shares under the 2019 ESPP.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9,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NN Invest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and a direct or indirect wholly owned subsidiary of Novo Nordisk A/S, a Danish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Novo</w:t>
      </w:r>
      <w:r>
        <w:rPr>
          <w:rFonts w:ascii="Times New Roman" w:cs="Times New Roman" w:eastAsia="Times New Roman" w:hAnsi="Times New Roman"/>
          <w:sz w:val="18"/>
          <w:szCs w:val="18"/>
          <w:color w:val="auto"/>
        </w:rPr>
        <w:t>”), completed its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and into Akero pursuant to the terms of the Agreement and Plan of Merger, dated October 9, 2025 (the “Merger Agreement”), by and among Novo, Merger Sub, and Akero. Akero was the surviving corporation in the Merger and, as a result, is now a wholly owned subsidiary of Novo.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Merger, Akero has terminated all offerings and sales of securities pursuant to the Registration Statements. In accordance with the undertakings made by Akero in each Registration Statement to remove from registration, by means of a post-effective amendment, any of the securities that had been registered for issuance under the Registration Statements that remain unsold at the termination of such offering, Akero hereby removes from registration all of such securities registered but remaining unsold under the Registration Statements as of the Effective Date. The Registration Statements are hereby amended, as appropriate, to reflect the deregistration of such securities. After giving effect to the Post-Effective Amendments, there will be no remaining securities registered by Akero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South San Francisco, State of California, on this 9th day of December, 2025.</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AKERO THERAPEUTICS, INC.</w:t>
      </w:r>
    </w:p>
    <w:p>
      <w:pPr>
        <w:spacing w:after="0" w:line="200" w:lineRule="exact"/>
        <w:rPr>
          <w:sz w:val="20"/>
          <w:szCs w:val="20"/>
          <w:color w:val="auto"/>
        </w:rPr>
      </w:pPr>
    </w:p>
    <w:p>
      <w:pPr>
        <w:spacing w:after="0" w:line="245"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Young,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26035</wp:posOffset>
            </wp:positionV>
            <wp:extent cx="14312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Jonathan Young, J.D.,</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Ph.D.</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on Rule 478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2025-12-09T08:42:18Z</dcterms:created>
  <dcterms:modified xsi:type="dcterms:W3CDTF">2025-12-09T08:42:18Z</dcterms:modified>
</cp:coreProperties>
</file>