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333-232234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333-254454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333-263194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333-270662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333-277531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333-285416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333-232234</w:t>
      </w:r>
    </w:p>
    <w:p>
      <w:pPr>
        <w:spacing w:after="0" w:line="3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333-237220</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333-254454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333-263194</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333-270662</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333-277531</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333-285416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AKERO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4"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81-5266573</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40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tc>
      </w:tr>
      <w:tr>
        <w:trPr>
          <w:trHeight w:val="410"/>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tc>
        <w:tc>
          <w:tcPr>
            <w:tcW w:w="4060" w:type="dxa"/>
            <w:vAlign w:val="bottom"/>
          </w:tcPr>
          <w:p>
            <w:pPr>
              <w:spacing w:after="0"/>
              <w:rPr>
                <w:sz w:val="24"/>
                <w:szCs w:val="24"/>
                <w:color w:val="auto"/>
              </w:rPr>
            </w:pPr>
          </w:p>
        </w:tc>
      </w:tr>
      <w:tr>
        <w:trPr>
          <w:trHeight w:val="216"/>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40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38"/>
        </w:trPr>
        <w:tc>
          <w:tcPr>
            <w:tcW w:w="55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2018 Stock Option and Grant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2019 Stock Option and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 2019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Young, J.D.,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Assistant Treasurer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487-6488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Christopher Comeau</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Emily Oldshue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Prudential Tower, 800 Boylston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02199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5"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S-8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Akero Therapeutics, Inc. (“</w:t>
      </w:r>
      <w:r>
        <w:rPr>
          <w:rFonts w:ascii="Times New Roman" w:cs="Times New Roman" w:eastAsia="Times New Roman" w:hAnsi="Times New Roman"/>
          <w:sz w:val="18"/>
          <w:szCs w:val="18"/>
          <w:u w:val="single" w:color="auto"/>
          <w:color w:val="auto"/>
        </w:rPr>
        <w:t>Akero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333-232234, filed with the SEC on June 20, 2019, relating to the registration of (i) 2,303,982 shares of the Company’s common stock, $0.0001 par value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under the Akero Therapeutics, Inc. 2018 Stock Option and Grant Plan, (ii) 2,455,931 Shares under the Akero Therapeutics, Inc. 2019 Stock Option and Incentive Plan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 (iii) options to purchase 116,526 Shares granted under the 2019 Plan, and (iv) 273,869 Shares reserved for future issuance under the Akero Therapeutics, Inc. 2019 Employee Stock Purchase Plan (the “</w:t>
      </w:r>
      <w:r>
        <w:rPr>
          <w:rFonts w:ascii="Times New Roman" w:cs="Times New Roman" w:eastAsia="Times New Roman" w:hAnsi="Times New Roman"/>
          <w:sz w:val="18"/>
          <w:szCs w:val="18"/>
          <w:u w:val="single" w:color="auto"/>
          <w:color w:val="auto"/>
        </w:rPr>
        <w:t>2019 ESPP</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333-237220, filed with the SEC on March 16, 2020, relating to the registration of (i) 1,142,713 Shares under the 2019 Plan and (ii) 285,678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333-254454, filed with the SEC on March 18, 2021, relating to the registration of (i) 1,389,665 Shares under the 2019 Plan and (ii) 347,416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333-263194, filed with the SEC on March 2, 2022, relating to the registration of (i) 1,396,029 Shares under the 2019 Plan and (ii) 349,007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333-270662, filed with the SEC on March 17, 2023, relating to the registration of (i) 1,874,608 Shares under the 2019 Plan and (ii) 410,803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333-277531, filed with the SEC on February 29, 2024, relating to the registration of (i) 2,230,177 Shares under the 2019 Plan and (ii) 410,803 Shares under the 2019 ESPP.</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333-285416, filed with the SEC on February 28, 2025, relating to the registration of (i) 2,895,320 Shares under the 2019 Plan and (ii) 410,803 Shares under the 2019 ESPP.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9,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NN Invest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a direct or indirect wholly owned subsidiary of Novo Nordisk A/S, a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Novo</w:t>
      </w:r>
      <w:r>
        <w:rPr>
          <w:rFonts w:ascii="Times New Roman" w:cs="Times New Roman" w:eastAsia="Times New Roman" w:hAnsi="Times New Roman"/>
          <w:sz w:val="18"/>
          <w:szCs w:val="18"/>
          <w:color w:val="auto"/>
        </w:rPr>
        <w:t>”), completed its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and into Akero pursuant to the terms of the Agreement and Plan of Merger, dated October 9, 2025 (the “Merger Agreement”), by and among Novo, Merger Sub, and Akero. Akero was the surviving corporation in the Merger and, as a result, is now a wholly owned subsidiary of Novo.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Merger, Akero has terminated all offerings and sales of securities pursuant to the Registration Statements. In accordance with the undertakings made by Akero in each Registration Statement to remove from registration, by means of a post-effective amendment, any of the securities that had been registered for issuance under the Registration Statements that remain unsold at the termination of such offering, Akero hereby removes from registration all of such securities registered but remaining unsold under the Registration Statements as of the Effective Date. The Registration Statements are hereby amended, as appropriate, to reflect the deregistration of such securities. After giving effect to the Post-Effective Amendments, there will be no remaining securities registered by Akero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South San Francisco, State of California, on this 9th day of December, 2025.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AKERO THERAPEUTICS, INC.</w:t>
      </w:r>
    </w:p>
    <w:p>
      <w:pPr>
        <w:spacing w:after="0" w:line="200" w:lineRule="exact"/>
        <w:rPr>
          <w:sz w:val="20"/>
          <w:szCs w:val="20"/>
          <w:color w:val="auto"/>
        </w:rPr>
      </w:pPr>
    </w:p>
    <w:p>
      <w:pPr>
        <w:spacing w:after="0" w:line="245"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Young,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26035</wp:posOffset>
            </wp:positionV>
            <wp:extent cx="14312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Jonathan Young, J.D.,</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Ph.D.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2025-12-09T08:35:24Z</dcterms:created>
  <dcterms:modified xsi:type="dcterms:W3CDTF">2025-12-09T08:35:24Z</dcterms:modified>
</cp:coreProperties>
</file>