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White William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601 GATEWAY BOULEVARD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Akero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2,804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53.995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59,155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 Issuer has adopted a "sell-to-cover" policy to satisfy the tax withholding obligations of the Reporting Person.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jc w:val="both"/>
        <w:ind w:left="40" w:right="3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$53.337 to $54.00,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Jonathan Young, Attorney-  </w:t>
      </w:r>
      <w:r>
        <w:rPr>
          <w:rFonts w:ascii="Times New Roman" w:cs="Times New Roman" w:eastAsia="Times New Roman" w:hAnsi="Times New Roman"/>
          <w:sz w:val="33"/>
          <w:szCs w:val="33"/>
          <w:color w:val="0000FF"/>
          <w:vertAlign w:val="subscript"/>
        </w:rPr>
        <w:t>06/12/2025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0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8739" TargetMode="External"/><Relationship Id="rId14" Type="http://schemas.openxmlformats.org/officeDocument/2006/relationships/hyperlink" Target="http://www.sec.gov/cgi-bin/browse-edgar?action=getcompany&amp;CIK=0001744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2025-06-12T17:36:23Z</dcterms:created>
  <dcterms:modified xsi:type="dcterms:W3CDTF">2025-06-12T17:36:23Z</dcterms:modified>
</cp:coreProperties>
</file>