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7149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14946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Young Jonathan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AKERO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601 GATEWAY BOULEVARD,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Akero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AKRO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32"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shd w:val="clear" w:color="auto" w:fill="9A9A9A"/>
          </w:tcPr>
          <w:p>
            <w:pPr>
              <w:spacing w:after="0"/>
              <w:rPr>
                <w:sz w:val="4"/>
                <w:szCs w:val="4"/>
                <w:color w:val="auto"/>
              </w:rPr>
            </w:pPr>
          </w:p>
        </w:tc>
        <w:tc>
          <w:tcPr>
            <w:tcW w:w="780" w:type="dxa"/>
            <w:vAlign w:val="bottom"/>
            <w:shd w:val="clear" w:color="auto" w:fill="9A9A9A"/>
          </w:tcPr>
          <w:p>
            <w:pPr>
              <w:spacing w:after="0"/>
              <w:rPr>
                <w:sz w:val="4"/>
                <w:szCs w:val="4"/>
                <w:color w:val="auto"/>
              </w:rPr>
            </w:pPr>
          </w:p>
        </w:tc>
        <w:tc>
          <w:tcPr>
            <w:tcW w:w="1740" w:type="dxa"/>
            <w:vAlign w:val="bottom"/>
            <w:shd w:val="clear" w:color="auto" w:fill="9A9A9A"/>
          </w:tcPr>
          <w:p>
            <w:pPr>
              <w:spacing w:after="0"/>
              <w:rPr>
                <w:sz w:val="4"/>
                <w:szCs w:val="4"/>
                <w:color w:val="auto"/>
              </w:rPr>
            </w:pPr>
          </w:p>
        </w:tc>
        <w:tc>
          <w:tcPr>
            <w:tcW w:w="3460" w:type="dxa"/>
            <w:vAlign w:val="bottom"/>
            <w:gridSpan w:val="5"/>
            <w:vMerge w:val="restart"/>
          </w:tcPr>
          <w:p>
            <w:pPr>
              <w:ind w:left="160"/>
              <w:spacing w:after="0"/>
              <w:rPr>
                <w:sz w:val="20"/>
                <w:szCs w:val="20"/>
                <w:color w:val="auto"/>
              </w:rPr>
            </w:pPr>
            <w:r>
              <w:rPr>
                <w:rFonts w:ascii="Arial" w:cs="Arial" w:eastAsia="Arial" w:hAnsi="Arial"/>
                <w:sz w:val="13"/>
                <w:szCs w:val="13"/>
                <w:color w:val="auto"/>
                <w:w w:val="99"/>
              </w:rPr>
              <w:t>4. If Amendment, Date of Original Filed (Month/Day/Year)</w:t>
            </w:r>
          </w:p>
        </w:tc>
        <w:tc>
          <w:tcPr>
            <w:tcW w:w="3760" w:type="dxa"/>
            <w:vAlign w:val="bottom"/>
            <w:gridSpan w:val="6"/>
            <w:vMerge w:val="restart"/>
          </w:tcPr>
          <w:p>
            <w:pPr>
              <w:ind w:left="5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460" w:type="dxa"/>
            <w:vAlign w:val="bottom"/>
            <w:gridSpan w:val="5"/>
            <w:vMerge w:val="continue"/>
          </w:tcPr>
          <w:p>
            <w:pPr>
              <w:spacing w:after="0"/>
              <w:rPr>
                <w:sz w:val="8"/>
                <w:szCs w:val="8"/>
                <w:color w:val="auto"/>
              </w:rPr>
            </w:pPr>
          </w:p>
        </w:tc>
        <w:tc>
          <w:tcPr>
            <w:tcW w:w="37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Arial" w:cs="Arial" w:eastAsia="Arial" w:hAnsi="Arial"/>
                <w:sz w:val="13"/>
                <w:szCs w:val="13"/>
                <w:color w:val="auto"/>
              </w:rPr>
              <w:t>Line)</w:t>
            </w: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4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94080</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20" w:type="dxa"/>
            <w:vAlign w:val="bottom"/>
            <w:gridSpan w:val="4"/>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78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ind w:left="100"/>
              <w:spacing w:after="0"/>
              <w:rPr>
                <w:sz w:val="20"/>
                <w:szCs w:val="20"/>
                <w:color w:val="auto"/>
              </w:rPr>
            </w:pPr>
            <w:r>
              <w:rPr>
                <w:rFonts w:ascii="Arial" w:cs="Arial" w:eastAsia="Arial" w:hAnsi="Arial"/>
                <w:sz w:val="13"/>
                <w:szCs w:val="13"/>
                <w:color w:val="auto"/>
              </w:rPr>
              <w:t>(State)</w:t>
            </w:r>
          </w:p>
        </w:tc>
        <w:tc>
          <w:tcPr>
            <w:tcW w:w="206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206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60" w:type="dxa"/>
            <w:vAlign w:val="bottom"/>
            <w:gridSpan w:val="2"/>
          </w:tcPr>
          <w:p>
            <w:pPr>
              <w:ind w:left="10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60" w:type="dxa"/>
            <w:vAlign w:val="bottom"/>
            <w:gridSpan w:val="2"/>
          </w:tcPr>
          <w:p>
            <w:pPr>
              <w:jc w:val="center"/>
              <w:ind w:left="92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8"/>
                <w:szCs w:val="8"/>
                <w:color w:val="auto"/>
              </w:rPr>
            </w:pPr>
          </w:p>
        </w:tc>
        <w:tc>
          <w:tcPr>
            <w:tcW w:w="10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926"/>
              <w:spacing w:after="0"/>
              <w:rPr>
                <w:sz w:val="20"/>
                <w:szCs w:val="20"/>
                <w:color w:val="auto"/>
              </w:rPr>
            </w:pPr>
            <w:r>
              <w:rPr>
                <w:rFonts w:ascii="Times New Roman" w:cs="Times New Roman" w:eastAsia="Times New Roman" w:hAnsi="Times New Roman"/>
                <w:sz w:val="17"/>
                <w:szCs w:val="17"/>
                <w:color w:val="0000FF"/>
              </w:rPr>
              <w:t>09/02/2025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12,500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w:t>
            </w: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209,984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926"/>
              <w:spacing w:after="0"/>
              <w:rPr>
                <w:sz w:val="20"/>
                <w:szCs w:val="20"/>
                <w:color w:val="auto"/>
              </w:rPr>
            </w:pPr>
            <w:r>
              <w:rPr>
                <w:rFonts w:ascii="Times New Roman" w:cs="Times New Roman" w:eastAsia="Times New Roman" w:hAnsi="Times New Roman"/>
                <w:sz w:val="17"/>
                <w:szCs w:val="17"/>
                <w:color w:val="0000FF"/>
              </w:rPr>
              <w:t>09/02/2025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9,700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45.776</w:t>
            </w:r>
            <w:r>
              <w:rPr>
                <w:rFonts w:ascii="Times New Roman" w:cs="Times New Roman" w:eastAsia="Times New Roman" w:hAnsi="Times New Roman"/>
                <w:sz w:val="21"/>
                <w:szCs w:val="21"/>
                <w:color w:val="008000"/>
                <w:w w:val="93"/>
                <w:vertAlign w:val="superscript"/>
              </w:rPr>
              <w:t>(3)</w:t>
            </w: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200,284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926"/>
              <w:spacing w:after="0"/>
              <w:rPr>
                <w:sz w:val="20"/>
                <w:szCs w:val="20"/>
                <w:color w:val="auto"/>
              </w:rPr>
            </w:pPr>
            <w:r>
              <w:rPr>
                <w:rFonts w:ascii="Times New Roman" w:cs="Times New Roman" w:eastAsia="Times New Roman" w:hAnsi="Times New Roman"/>
                <w:sz w:val="17"/>
                <w:szCs w:val="17"/>
                <w:color w:val="0000FF"/>
              </w:rPr>
              <w:t>09/02/2025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2,739</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47.136</w:t>
            </w:r>
            <w:r>
              <w:rPr>
                <w:rFonts w:ascii="Times New Roman" w:cs="Times New Roman" w:eastAsia="Times New Roman" w:hAnsi="Times New Roman"/>
                <w:sz w:val="21"/>
                <w:szCs w:val="21"/>
                <w:color w:val="008000"/>
                <w:w w:val="93"/>
                <w:vertAlign w:val="superscript"/>
              </w:rPr>
              <w:t>(4)</w:t>
            </w: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197,545</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gridSpan w:val="2"/>
          </w:tcPr>
          <w:p>
            <w:pPr>
              <w:jc w:val="center"/>
              <w:ind w:left="926"/>
              <w:spacing w:after="0"/>
              <w:rPr>
                <w:sz w:val="20"/>
                <w:szCs w:val="20"/>
                <w:color w:val="auto"/>
              </w:rPr>
            </w:pPr>
            <w:r>
              <w:rPr>
                <w:rFonts w:ascii="Times New Roman" w:cs="Times New Roman" w:eastAsia="Times New Roman" w:hAnsi="Times New Roman"/>
                <w:sz w:val="17"/>
                <w:szCs w:val="17"/>
                <w:color w:val="0000FF"/>
              </w:rPr>
              <w:t>09/02/2025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47.58</w:t>
            </w: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197,484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EA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CM</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JL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76"/>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09/02/2025</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12,500</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12/07/2031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82,482</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57,482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dated April 29, 2025, previously adopted by the Reporting Person.</w:t>
      </w:r>
    </w:p>
    <w:p>
      <w:pPr>
        <w:spacing w:after="0" w:line="43"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irrevocable trusts for the benefit of the Reporting Person's children. The Reporting Person's spouse is trustee of the trusts.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$45.48 to $46.27,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These shares were sold in multiple transactions at prices ranging from $46.54 to $47.54,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48 equal monthly installments, commencing on December 8, 2021</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/s/ Jonathan Young</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09/04/2025</w:t>
            </w: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65" w:lineRule="exact"/>
        <w:rPr>
          <w:sz w:val="24"/>
          <w:szCs w:val="24"/>
          <w:color w:val="auto"/>
        </w:rPr>
      </w:pPr>
    </w:p>
    <w:p>
      <w:pPr>
        <w:sectPr>
          <w:pgSz w:w="11900" w:h="16838" w:orient="portrait"/>
          <w:cols w:equalWidth="0" w:num="1">
            <w:col w:w="11080"/>
          </w:cols>
          <w:pgMar w:left="460" w:top="217"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9805" TargetMode="External"/><Relationship Id="rId14" Type="http://schemas.openxmlformats.org/officeDocument/2006/relationships/hyperlink" Target="http://www.sec.gov/cgi-bin/browse-edgar?action=getcompany&amp;CIK=0001744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2025-09-04T18:49:28Z</dcterms:created>
  <dcterms:modified xsi:type="dcterms:W3CDTF">2025-09-04T18:49:28Z</dcterms:modified>
</cp:coreProperties>
</file>