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Akero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00973Y108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00973Y108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00973Y108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00973Y108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Kroin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Akero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259"/>
        <w:spacing w:after="0"/>
        <w:rPr>
          <w:sz w:val="20"/>
          <w:szCs w:val="20"/>
          <w:color w:val="auto"/>
        </w:rPr>
      </w:pPr>
      <w:r>
        <w:rPr>
          <w:rFonts w:ascii="Times New Roman" w:cs="Times New Roman" w:eastAsia="Times New Roman" w:hAnsi="Times New Roman"/>
          <w:sz w:val="22"/>
          <w:szCs w:val="22"/>
          <w:color w:val="auto"/>
        </w:rPr>
        <w:t>601 Gateway Boulevard, Suite 350, South San Francisco, CA 94080</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1920"/>
        <w:spacing w:after="0" w:line="286" w:lineRule="auto"/>
        <w:rPr>
          <w:sz w:val="20"/>
          <w:szCs w:val="20"/>
          <w:color w:val="auto"/>
        </w:rPr>
      </w:pPr>
      <w:r>
        <w:rPr>
          <w:rFonts w:ascii="Times New Roman" w:cs="Times New Roman" w:eastAsia="Times New Roman" w:hAnsi="Times New Roman"/>
          <w:sz w:val="22"/>
          <w:szCs w:val="22"/>
          <w:color w:val="auto"/>
        </w:rPr>
        <w:t>(i) Deep Track Capital, LP (ii) Deep Track Biotechnology Master Fund, Ltd. (iii) David Kroin Address or principal business office or, if none, residence:</w:t>
      </w:r>
    </w:p>
    <w:p>
      <w:pPr>
        <w:spacing w:after="0" w:line="156" w:lineRule="exact"/>
        <w:rPr>
          <w:sz w:val="20"/>
          <w:szCs w:val="20"/>
          <w:color w:val="auto"/>
        </w:rPr>
      </w:pPr>
    </w:p>
    <w:p>
      <w:pPr>
        <w:ind w:left="9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200 Greenwich Ave, 3rd Floor, Greenwich, CT 06830 (ii) c/o Walkers Corporate Limited, 190 Elgin Ave, George Town, KY1-9001, Cayman Islands (iii) c/o Deep Track Capital, LP, 200 Greenwich Ave, 3rd Floor, Greenwich, CT 06830</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5620" w:firstLine="6"/>
        <w:spacing w:after="0" w:line="256" w:lineRule="auto"/>
        <w:tabs>
          <w:tab w:leader="none" w:pos="117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 (ii) Cayman Islands (iii)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00973Y108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1240" w:hanging="314"/>
        <w:spacing w:after="0"/>
        <w:tabs>
          <w:tab w:leader="none" w:pos="12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74" w:orient="portrait"/>
          <w:cols w:equalWidth="0" w:num="1">
            <w:col w:w="10980"/>
          </w:cols>
          <w:pgMar w:left="360" w:top="112" w:right="559" w:bottom="0" w:gutter="0" w:footer="0" w:header="0"/>
        </w:sectPr>
      </w:pPr>
    </w:p>
    <w:bookmarkStart w:id="4" w:name="page5"/>
    <w:bookmarkEnd w:id="4"/>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Deep Track Capital, LP is the relevant entity for which David Kroin may be considered a control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39"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David Kroin, Managing Member of the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of the Investment Adviser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David Kroin, Director</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David Kroin</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David Kroin</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Item 4: Information with respect to the Reporting Persons' ownership of the Common Stock as of December 31, 2025 is incorporated by reference to items (5) - (9) and (11) of the cover page of the respective Reporting Person. The amount beneficially owned by each Reporting Person is calculated using 82,316,179 Common Stock outstanding as of November 3, 2025, according to the issuer's 10-Q filed with the SEC on November 7, 2025. JOINT FILING STATEMENT PURSUANT TO RULE 13d-1(k) 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February 13, 2026 Deep Track Capital, LP By: /s/ David Kroin David Kroin, Managing Member of the General Partner of the Investment Adviser Deep Track Biotechnology Master Fund, Ltd. By: /s/ David Kroin David Kroin, Director David Kroin By: /s/ David Kroin David Kroin</w:t>
      </w:r>
    </w:p>
    <w:sectPr>
      <w:pgSz w:w="11900" w:h="16838" w:orient="portrait"/>
      <w:cols w:equalWidth="0" w:num="1">
        <w:col w:w="11140"/>
      </w:cols>
      <w:pgMar w:left="360" w:top="13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Roman"/>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2026-02-13T07:43:59Z</dcterms:created>
  <dcterms:modified xsi:type="dcterms:W3CDTF">2026-02-13T07:43:59Z</dcterms:modified>
</cp:coreProperties>
</file>